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7FB" w:rsidRPr="005A032F" w:rsidRDefault="00F127FB" w:rsidP="00682D1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VIII</w:t>
            </w:r>
            <w:r w:rsidRPr="005A032F">
              <w:rPr>
                <w:rFonts w:ascii="Verdana" w:hAnsi="Verdana"/>
                <w:b/>
              </w:rPr>
              <w:t xml:space="preserve"> SEMESTRE</w:t>
            </w: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7FB" w:rsidRPr="005A032F" w:rsidRDefault="00F127F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127FB" w:rsidRPr="005A032F" w:rsidRDefault="00F127F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F127FB" w:rsidRPr="005A032F" w:rsidRDefault="00F127F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Asignatura          :  </w:t>
            </w:r>
            <w:r>
              <w:rPr>
                <w:rFonts w:ascii="Verdana" w:hAnsi="Verdana"/>
                <w:sz w:val="20"/>
              </w:rPr>
              <w:t>Finanzas Estratégicas</w:t>
            </w:r>
          </w:p>
          <w:p w:rsidR="00F127FB" w:rsidRPr="005A032F" w:rsidRDefault="00F127F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Año                    :  </w:t>
            </w:r>
            <w:r>
              <w:rPr>
                <w:rFonts w:ascii="Verdana" w:hAnsi="Verdana"/>
                <w:sz w:val="20"/>
              </w:rPr>
              <w:t>4er Año</w:t>
            </w:r>
          </w:p>
          <w:p w:rsidR="00F127FB" w:rsidRPr="005A032F" w:rsidRDefault="00F127F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Horas                 :  </w:t>
            </w:r>
            <w:r>
              <w:rPr>
                <w:rFonts w:ascii="Verdana" w:hAnsi="Verdana"/>
                <w:sz w:val="20"/>
              </w:rPr>
              <w:t>4-0-0</w:t>
            </w:r>
          </w:p>
          <w:p w:rsidR="00F127FB" w:rsidRPr="005A032F" w:rsidRDefault="00F127F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 xml:space="preserve">Requisitos           :  </w:t>
            </w:r>
            <w:r>
              <w:rPr>
                <w:rFonts w:ascii="Verdana" w:hAnsi="Verdana"/>
                <w:sz w:val="20"/>
              </w:rPr>
              <w:t>Finanzas Corporativas II</w:t>
            </w:r>
          </w:p>
          <w:p w:rsidR="00F127FB" w:rsidRPr="005A032F" w:rsidRDefault="00F127FB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7FB" w:rsidRPr="005A032F" w:rsidRDefault="00F127F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Generales:</w:t>
            </w: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127FB" w:rsidRPr="00E235B5" w:rsidRDefault="00F127FB" w:rsidP="00682D10">
            <w:pPr>
              <w:pStyle w:val="Sangradetextonormal"/>
              <w:rPr>
                <w:rFonts w:ascii="Verdana" w:hAnsi="Verdana"/>
                <w:sz w:val="16"/>
              </w:rPr>
            </w:pPr>
          </w:p>
          <w:p w:rsidR="00F127FB" w:rsidRDefault="00F127FB" w:rsidP="00F127F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Proporcionar al alumno los conocimientos indispensables para comprender los instrumentos derivados más utilizados en el mercado financiero nacional e internacional.</w:t>
            </w:r>
          </w:p>
          <w:p w:rsidR="00F127FB" w:rsidRDefault="00F127FB" w:rsidP="00F127F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Capacitar a los alumnos para efectuar una valoración de los distintos instrumentos derivados.</w:t>
            </w:r>
          </w:p>
          <w:p w:rsidR="00F127FB" w:rsidRDefault="00F127FB" w:rsidP="00F127F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Comprender el funcionamiento del mercado financiero moderno y las relaciones entre los distintos instrumentos derivados que se transan en dicho mercado.</w:t>
            </w:r>
          </w:p>
          <w:p w:rsidR="00F127FB" w:rsidRPr="00C95C6B" w:rsidRDefault="00F127FB" w:rsidP="00F127FB">
            <w:pPr>
              <w:pStyle w:val="Sangradetextonormal"/>
              <w:numPr>
                <w:ilvl w:val="0"/>
                <w:numId w:val="3"/>
              </w:numPr>
              <w:tabs>
                <w:tab w:val="clear" w:pos="1003"/>
              </w:tabs>
              <w:spacing w:line="276" w:lineRule="auto"/>
              <w:ind w:left="747" w:hanging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Entregar las condiciones de relacionar la valoración de los instrumentos derivado con las decisiones financieras de la empresa.</w:t>
            </w:r>
          </w:p>
          <w:p w:rsidR="00F127FB" w:rsidRPr="00E235B5" w:rsidRDefault="00F127FB" w:rsidP="00682D10">
            <w:pPr>
              <w:rPr>
                <w:rFonts w:ascii="Verdana" w:hAnsi="Verdana"/>
                <w:sz w:val="16"/>
              </w:rPr>
            </w:pP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7FB" w:rsidRPr="005A032F" w:rsidRDefault="00F127F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F127FB" w:rsidRPr="005A032F" w:rsidRDefault="00F127F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F127FB" w:rsidRDefault="00F127F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 w:rsidRPr="005A032F">
              <w:rPr>
                <w:rFonts w:ascii="Verdana" w:hAnsi="Verdana"/>
                <w:i/>
                <w:sz w:val="18"/>
              </w:rPr>
              <w:t xml:space="preserve">UNIDAD 1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INTRODUCCIÓN</w:t>
            </w:r>
          </w:p>
          <w:p w:rsidR="00F127FB" w:rsidRDefault="00F127FB" w:rsidP="00682D10">
            <w:pPr>
              <w:rPr>
                <w:sz w:val="16"/>
              </w:rPr>
            </w:pPr>
          </w:p>
          <w:p w:rsidR="00F127FB" w:rsidRPr="006B6EA0" w:rsidRDefault="00F127FB" w:rsidP="00F127F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Sistema monetario internacional.</w:t>
            </w:r>
          </w:p>
          <w:p w:rsidR="00F127FB" w:rsidRDefault="00F127FB" w:rsidP="00F127F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Mercado de divisas.</w:t>
            </w:r>
          </w:p>
          <w:p w:rsidR="00F127FB" w:rsidRDefault="00F127FB" w:rsidP="00F127F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Ajuste del tipo de cambio.</w:t>
            </w:r>
          </w:p>
          <w:p w:rsidR="00F127FB" w:rsidRDefault="00F127FB" w:rsidP="00F127F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Mercado internacional de obligaciones.</w:t>
            </w:r>
          </w:p>
          <w:p w:rsidR="00F127FB" w:rsidRDefault="00F127FB" w:rsidP="00F127FB">
            <w:pPr>
              <w:numPr>
                <w:ilvl w:val="1"/>
                <w:numId w:val="4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Mercado internacional de acciones.</w:t>
            </w:r>
          </w:p>
          <w:p w:rsidR="00F127FB" w:rsidRPr="0052216B" w:rsidRDefault="00F127FB" w:rsidP="00682D10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127FB" w:rsidRDefault="00F127F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2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COBERTURA DEL RIESGO CON OPCIONES</w:t>
            </w:r>
          </w:p>
          <w:p w:rsidR="00F127FB" w:rsidRDefault="00F127FB" w:rsidP="00682D10">
            <w:pPr>
              <w:rPr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5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Introducción.</w:t>
            </w: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Mercado de opciones.</w:t>
            </w: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Tipos de opciones.</w:t>
            </w: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Estrategias de usos de opciones.</w:t>
            </w: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Precio de una opción.</w:t>
            </w:r>
          </w:p>
          <w:p w:rsidR="00F127FB" w:rsidRDefault="00F127FB" w:rsidP="00F127FB">
            <w:pPr>
              <w:numPr>
                <w:ilvl w:val="1"/>
                <w:numId w:val="5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Modelo de </w:t>
            </w:r>
            <w:proofErr w:type="spellStart"/>
            <w:r>
              <w:rPr>
                <w:rFonts w:ascii="Verdana" w:hAnsi="Verdana"/>
                <w:sz w:val="16"/>
              </w:rPr>
              <w:t>Blanck</w:t>
            </w:r>
            <w:proofErr w:type="spellEnd"/>
            <w:r>
              <w:rPr>
                <w:rFonts w:ascii="Verdana" w:hAnsi="Verdana"/>
                <w:sz w:val="16"/>
              </w:rPr>
              <w:t xml:space="preserve"> and </w:t>
            </w:r>
            <w:proofErr w:type="spellStart"/>
            <w:r>
              <w:rPr>
                <w:rFonts w:ascii="Verdana" w:hAnsi="Verdana"/>
                <w:sz w:val="16"/>
              </w:rPr>
              <w:t>Scholes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  <w:p w:rsidR="00F127FB" w:rsidRDefault="00F127F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127FB" w:rsidRDefault="00F127F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127FB" w:rsidRDefault="00F127F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F127FB" w:rsidRDefault="00F127FB" w:rsidP="00682D10">
            <w:pPr>
              <w:rPr>
                <w:rFonts w:ascii="Verdana" w:hAnsi="Verdana"/>
                <w:sz w:val="16"/>
              </w:rPr>
            </w:pPr>
          </w:p>
          <w:p w:rsidR="00F127FB" w:rsidRDefault="00F127F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3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FUTUROS FINANCIEROS</w:t>
            </w:r>
          </w:p>
          <w:p w:rsidR="00F127FB" w:rsidRDefault="00F127FB" w:rsidP="00682D10">
            <w:pPr>
              <w:rPr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Contrato de futuros.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Clases de futuros.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Cobertura del riesgo con futuros.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Determinación del radio de cobertura.</w:t>
            </w:r>
          </w:p>
          <w:p w:rsidR="00F127FB" w:rsidRPr="0052216B" w:rsidRDefault="00F127FB" w:rsidP="00682D10">
            <w:pPr>
              <w:rPr>
                <w:sz w:val="22"/>
              </w:rPr>
            </w:pPr>
          </w:p>
          <w:p w:rsidR="00F127FB" w:rsidRDefault="00F127FB" w:rsidP="00682D10">
            <w:pPr>
              <w:pStyle w:val="Ttulo4"/>
              <w:numPr>
                <w:ilvl w:val="0"/>
                <w:numId w:val="0"/>
              </w:numPr>
              <w:spacing w:before="0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UNIDAD 4</w:t>
            </w:r>
            <w:r w:rsidRPr="005A032F">
              <w:rPr>
                <w:rFonts w:ascii="Verdana" w:hAnsi="Verdana"/>
                <w:i/>
                <w:sz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 xml:space="preserve">  </w:t>
            </w:r>
            <w:r w:rsidRPr="005A032F">
              <w:rPr>
                <w:rFonts w:ascii="Verdana" w:hAnsi="Verdana"/>
                <w:i/>
                <w:sz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</w:rPr>
              <w:t>SWAPS DE INTERESES</w:t>
            </w:r>
          </w:p>
          <w:p w:rsidR="00F127FB" w:rsidRDefault="00F127FB" w:rsidP="00682D10">
            <w:pPr>
              <w:rPr>
                <w:sz w:val="16"/>
              </w:rPr>
            </w:pPr>
          </w:p>
          <w:p w:rsidR="00F127FB" w:rsidRPr="00B0626E" w:rsidRDefault="00F127FB" w:rsidP="00F127FB">
            <w:pPr>
              <w:pStyle w:val="Prrafodelista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Verdana" w:hAnsi="Verdana"/>
                <w:vanish/>
                <w:sz w:val="16"/>
              </w:rPr>
            </w:pP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Swaps de tipo de intereses.  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Swaps de divisas.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Otros tipos de swaps.</w:t>
            </w:r>
          </w:p>
          <w:p w:rsidR="00F127F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Valoración de un swaps.</w:t>
            </w:r>
          </w:p>
          <w:p w:rsidR="00F127FB" w:rsidRPr="0052216B" w:rsidRDefault="00F127FB" w:rsidP="00F127FB">
            <w:pPr>
              <w:numPr>
                <w:ilvl w:val="1"/>
                <w:numId w:val="6"/>
              </w:numPr>
              <w:spacing w:line="360" w:lineRule="auto"/>
              <w:ind w:left="1250" w:hanging="35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Deuda externa y financiación internacional.</w:t>
            </w:r>
          </w:p>
          <w:p w:rsidR="00F127FB" w:rsidRPr="00EA2F24" w:rsidRDefault="00F127FB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7FB" w:rsidRPr="005A032F" w:rsidRDefault="00F127F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F127FB" w:rsidRPr="005A032F" w:rsidTr="00682D10">
        <w:trPr>
          <w:jc w:val="center"/>
        </w:trPr>
        <w:tc>
          <w:tcPr>
            <w:tcW w:w="9779" w:type="dxa"/>
            <w:tcBorders>
              <w:top w:val="single" w:sz="12" w:space="0" w:color="auto"/>
            </w:tcBorders>
          </w:tcPr>
          <w:p w:rsidR="00F127FB" w:rsidRPr="005A032F" w:rsidRDefault="00F127FB" w:rsidP="00682D10">
            <w:pPr>
              <w:jc w:val="both"/>
              <w:rPr>
                <w:rFonts w:ascii="Verdana" w:hAnsi="Verdana"/>
              </w:rPr>
            </w:pPr>
          </w:p>
          <w:p w:rsidR="00F127FB" w:rsidRDefault="00F127FB" w:rsidP="00F127F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Myers, </w:t>
            </w:r>
            <w:proofErr w:type="spellStart"/>
            <w:r>
              <w:rPr>
                <w:rFonts w:ascii="Verdana" w:hAnsi="Verdana"/>
                <w:sz w:val="16"/>
              </w:rPr>
              <w:t>Brealey</w:t>
            </w:r>
            <w:proofErr w:type="spellEnd"/>
            <w:r>
              <w:rPr>
                <w:rFonts w:ascii="Verdana" w:hAnsi="Verdana"/>
                <w:sz w:val="16"/>
              </w:rPr>
              <w:t>; Principios de Dirección Financiera.</w:t>
            </w:r>
          </w:p>
          <w:p w:rsidR="00F127FB" w:rsidRDefault="00F127FB" w:rsidP="00F127F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Fernández, Pablo; Opciones, Futuros e Instrumentos Derivados.</w:t>
            </w:r>
          </w:p>
          <w:p w:rsidR="00F127FB" w:rsidRDefault="00F127FB" w:rsidP="00F127F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Castro, L. &amp; Mascareñas, J.; Ingeniería Financiera.</w:t>
            </w:r>
          </w:p>
          <w:p w:rsidR="00F127FB" w:rsidRDefault="00F127FB" w:rsidP="00F127F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Horne</w:t>
            </w:r>
            <w:proofErr w:type="spellEnd"/>
            <w:r>
              <w:rPr>
                <w:rFonts w:ascii="Verdana" w:hAnsi="Verdana"/>
                <w:sz w:val="16"/>
              </w:rPr>
              <w:t>, Van; Administración Financiera.</w:t>
            </w:r>
          </w:p>
          <w:p w:rsidR="00F127FB" w:rsidRDefault="00F127FB" w:rsidP="00F127FB">
            <w:pPr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Lamothe</w:t>
            </w:r>
            <w:proofErr w:type="spellEnd"/>
            <w:r>
              <w:rPr>
                <w:rFonts w:ascii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</w:rPr>
              <w:t>Prosper</w:t>
            </w:r>
            <w:proofErr w:type="spellEnd"/>
            <w:r>
              <w:rPr>
                <w:rFonts w:ascii="Verdana" w:hAnsi="Verdana"/>
                <w:sz w:val="16"/>
              </w:rPr>
              <w:t>; Opciones Financieras.</w:t>
            </w:r>
          </w:p>
          <w:p w:rsidR="00F127FB" w:rsidRPr="00A84968" w:rsidRDefault="00F127FB" w:rsidP="00682D10">
            <w:pPr>
              <w:spacing w:line="276" w:lineRule="auto"/>
              <w:rPr>
                <w:rFonts w:ascii="Verdana" w:hAnsi="Verdana"/>
                <w:sz w:val="16"/>
              </w:rPr>
            </w:pPr>
          </w:p>
        </w:tc>
      </w:tr>
    </w:tbl>
    <w:p w:rsidR="003D65DA" w:rsidRDefault="003D65DA">
      <w:bookmarkStart w:id="0" w:name="_GoBack"/>
      <w:bookmarkEnd w:id="0"/>
    </w:p>
    <w:p w:rsidR="00AC0E95" w:rsidRDefault="00AC0E95"/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659D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0B1FDF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B61B5D"/>
    <w:multiLevelType w:val="multilevel"/>
    <w:tmpl w:val="EFA08F2E"/>
    <w:lvl w:ilvl="0">
      <w:start w:val="1"/>
      <w:numFmt w:val="none"/>
      <w:pStyle w:val="Ttulo1"/>
      <w:lvlText w:val="2.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pStyle w:val="Ttulo3"/>
      <w:lvlText w:val="%3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9556342"/>
    <w:multiLevelType w:val="hybridMultilevel"/>
    <w:tmpl w:val="0C7C6962"/>
    <w:lvl w:ilvl="0" w:tplc="4A0C1A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ECDE81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65F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6E85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FA91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BC24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A0CA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2E30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DC4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05F84"/>
    <w:multiLevelType w:val="hybridMultilevel"/>
    <w:tmpl w:val="276A5E68"/>
    <w:lvl w:ilvl="0" w:tplc="FF2AB4BE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4F7A6236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43E4D0C0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D095D0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7A45B3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9FF4BDF8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AFE86A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43B8361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B07AE3A2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7E7346AD"/>
    <w:multiLevelType w:val="multilevel"/>
    <w:tmpl w:val="CD8A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031DBB"/>
    <w:rsid w:val="00091DF6"/>
    <w:rsid w:val="000F6056"/>
    <w:rsid w:val="00136A69"/>
    <w:rsid w:val="00152B4C"/>
    <w:rsid w:val="00153CE5"/>
    <w:rsid w:val="00156683"/>
    <w:rsid w:val="001F696D"/>
    <w:rsid w:val="00226110"/>
    <w:rsid w:val="00245E06"/>
    <w:rsid w:val="00280184"/>
    <w:rsid w:val="002C38FF"/>
    <w:rsid w:val="00330C2B"/>
    <w:rsid w:val="003D65DA"/>
    <w:rsid w:val="00496D1C"/>
    <w:rsid w:val="004F43F6"/>
    <w:rsid w:val="00552B2A"/>
    <w:rsid w:val="005B4D2B"/>
    <w:rsid w:val="00690D8E"/>
    <w:rsid w:val="006A4437"/>
    <w:rsid w:val="00706D73"/>
    <w:rsid w:val="007416C8"/>
    <w:rsid w:val="007629F0"/>
    <w:rsid w:val="007B0ED4"/>
    <w:rsid w:val="007E749B"/>
    <w:rsid w:val="00832F14"/>
    <w:rsid w:val="00843822"/>
    <w:rsid w:val="0089247C"/>
    <w:rsid w:val="008B6C4A"/>
    <w:rsid w:val="009323D2"/>
    <w:rsid w:val="00AC0E95"/>
    <w:rsid w:val="00AD34ED"/>
    <w:rsid w:val="00AE0A99"/>
    <w:rsid w:val="00B03D1C"/>
    <w:rsid w:val="00CA6902"/>
    <w:rsid w:val="00D1114B"/>
    <w:rsid w:val="00D668D0"/>
    <w:rsid w:val="00D95E6D"/>
    <w:rsid w:val="00DE1E90"/>
    <w:rsid w:val="00E15619"/>
    <w:rsid w:val="00F127F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06D7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06D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6D7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6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06D7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06D7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706D7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06D7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06D7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06D7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06D7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06D7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06D73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06D73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6D73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6D7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06D7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06D73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706D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706D73"/>
    <w:pPr>
      <w:jc w:val="center"/>
    </w:pPr>
    <w:rPr>
      <w:b/>
      <w:sz w:val="20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706D73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706D7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6D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06D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438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43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2016-06-24T16:04:00Z</dcterms:created>
  <dcterms:modified xsi:type="dcterms:W3CDTF">2016-06-24T16:04:00Z</dcterms:modified>
</cp:coreProperties>
</file>